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A01E1" w14:textId="77777777" w:rsidR="00745F44" w:rsidRPr="00745F44" w:rsidRDefault="00745F44" w:rsidP="00745F44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KV</w:t>
      </w:r>
      <w:r>
        <w:rPr>
          <w:rFonts w:ascii="Arial" w:eastAsia="Times New Roman" w:hAnsi="Arial" w:cs="Arial"/>
          <w:color w:val="222222"/>
          <w:sz w:val="36"/>
          <w:szCs w:val="36"/>
          <w:lang w:eastAsia="en-IN"/>
        </w:rPr>
        <w:t xml:space="preserve"> Noida School Fee structure </w:t>
      </w:r>
    </w:p>
    <w:tbl>
      <w:tblPr>
        <w:tblpPr w:leftFromText="180" w:rightFromText="180" w:vertAnchor="text" w:horzAnchor="margin" w:tblpXSpec="center" w:tblpY="23"/>
        <w:tblW w:w="78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0"/>
        <w:gridCol w:w="3905"/>
      </w:tblGrid>
      <w:tr w:rsidR="00890AD6" w:rsidRPr="00745F44" w14:paraId="2F86E989" w14:textId="77777777" w:rsidTr="00890AD6">
        <w:trPr>
          <w:trHeight w:val="600"/>
        </w:trPr>
        <w:tc>
          <w:tcPr>
            <w:tcW w:w="3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638E702A" w14:textId="77777777" w:rsidR="00890AD6" w:rsidRPr="00745F44" w:rsidRDefault="00890AD6" w:rsidP="00890AD6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Admission Fee</w:t>
            </w:r>
          </w:p>
        </w:tc>
        <w:tc>
          <w:tcPr>
            <w:tcW w:w="39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6A71EC66" w14:textId="77777777" w:rsidR="00890AD6" w:rsidRPr="00745F44" w:rsidRDefault="00890AD6" w:rsidP="00890AD6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 25 Per Month</w:t>
            </w:r>
          </w:p>
        </w:tc>
      </w:tr>
      <w:tr w:rsidR="00890AD6" w:rsidRPr="00745F44" w14:paraId="6905FADD" w14:textId="77777777" w:rsidTr="00890AD6">
        <w:trPr>
          <w:trHeight w:val="402"/>
        </w:trPr>
        <w:tc>
          <w:tcPr>
            <w:tcW w:w="39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65B9F67F" w14:textId="77777777" w:rsidR="00890AD6" w:rsidRPr="00745F44" w:rsidRDefault="00890AD6" w:rsidP="00890AD6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Re-Admission Fee</w:t>
            </w:r>
          </w:p>
        </w:tc>
        <w:tc>
          <w:tcPr>
            <w:tcW w:w="390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2A325C27" w14:textId="77777777" w:rsidR="00890AD6" w:rsidRPr="00745F44" w:rsidRDefault="00890AD6" w:rsidP="00890AD6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 100 Per Month</w:t>
            </w:r>
          </w:p>
        </w:tc>
      </w:tr>
    </w:tbl>
    <w:p w14:paraId="1E56D9D3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IN"/>
        </w:rPr>
        <w:t>Admission Fee</w:t>
      </w:r>
    </w:p>
    <w:tbl>
      <w:tblPr>
        <w:tblpPr w:leftFromText="180" w:rightFromText="180" w:vertAnchor="text" w:horzAnchor="margin" w:tblpXSpec="center" w:tblpY="533"/>
        <w:tblW w:w="799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115"/>
        <w:gridCol w:w="2880"/>
      </w:tblGrid>
      <w:tr w:rsidR="00745F44" w:rsidRPr="00745F44" w14:paraId="72C35332" w14:textId="77777777" w:rsidTr="00890AD6">
        <w:tc>
          <w:tcPr>
            <w:tcW w:w="5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70BB4FD8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IX &amp; X (Boys)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5CF30994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 200 Per Month</w:t>
            </w:r>
          </w:p>
        </w:tc>
      </w:tr>
      <w:tr w:rsidR="00745F44" w:rsidRPr="00745F44" w14:paraId="31D92437" w14:textId="77777777" w:rsidTr="00890AD6">
        <w:tc>
          <w:tcPr>
            <w:tcW w:w="5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4A5B9C99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 &amp; XII Commerce &amp; Humanities (Boys)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3793881A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 300 Per Month</w:t>
            </w:r>
          </w:p>
        </w:tc>
      </w:tr>
      <w:tr w:rsidR="00745F44" w:rsidRPr="00745F44" w14:paraId="3C0E2FB7" w14:textId="77777777" w:rsidTr="00890AD6">
        <w:tc>
          <w:tcPr>
            <w:tcW w:w="5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724F127E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XI &amp; XII Science (Boys)</w:t>
            </w:r>
          </w:p>
        </w:tc>
        <w:tc>
          <w:tcPr>
            <w:tcW w:w="28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5E8554AC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Rs.400 Per Month</w:t>
            </w:r>
          </w:p>
        </w:tc>
      </w:tr>
    </w:tbl>
    <w:p w14:paraId="0749422C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IN"/>
        </w:rPr>
        <w:t>Tuition Fee</w:t>
      </w:r>
    </w:p>
    <w:p w14:paraId="207C386D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b/>
          <w:bCs/>
          <w:color w:val="222222"/>
          <w:sz w:val="24"/>
          <w:szCs w:val="24"/>
          <w:lang w:eastAsia="en-IN"/>
        </w:rPr>
        <w:t>Computer Fund</w:t>
      </w:r>
    </w:p>
    <w:tbl>
      <w:tblPr>
        <w:tblW w:w="9360" w:type="dxa"/>
        <w:tblInd w:w="-9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200"/>
        <w:gridCol w:w="2160"/>
      </w:tblGrid>
      <w:tr w:rsidR="00745F44" w:rsidRPr="00745F44" w14:paraId="194243A0" w14:textId="77777777" w:rsidTr="00890AD6">
        <w:trPr>
          <w:trHeight w:val="438"/>
        </w:trPr>
        <w:tc>
          <w:tcPr>
            <w:tcW w:w="7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588D680A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Class III onwards wherever Computer Education is being imparted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43DD3B8C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 100 Per Month</w:t>
            </w:r>
          </w:p>
        </w:tc>
      </w:tr>
      <w:tr w:rsidR="00745F44" w:rsidRPr="00745F44" w14:paraId="469915E5" w14:textId="77777777" w:rsidTr="00890AD6">
        <w:trPr>
          <w:trHeight w:val="510"/>
        </w:trPr>
        <w:tc>
          <w:tcPr>
            <w:tcW w:w="7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1E291BD5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Computer Science Fee. (for elective subjects) + 2 stage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2A1D7187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 150 Per Month</w:t>
            </w:r>
          </w:p>
        </w:tc>
      </w:tr>
      <w:tr w:rsidR="00745F44" w:rsidRPr="00745F44" w14:paraId="4F3754A5" w14:textId="77777777" w:rsidTr="00890AD6">
        <w:trPr>
          <w:trHeight w:val="402"/>
        </w:trPr>
        <w:tc>
          <w:tcPr>
            <w:tcW w:w="72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79E9C176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Vidyalaya Vikas Nidhi (Classes I – XII)</w:t>
            </w:r>
          </w:p>
        </w:tc>
        <w:tc>
          <w:tcPr>
            <w:tcW w:w="21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EEEEE"/>
            <w:vAlign w:val="center"/>
            <w:hideMark/>
          </w:tcPr>
          <w:p w14:paraId="17AFD2D1" w14:textId="77777777" w:rsidR="00745F44" w:rsidRPr="00745F44" w:rsidRDefault="00745F44" w:rsidP="00745F44">
            <w:pPr>
              <w:spacing w:after="60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745F44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Rs. 500 Per Month</w:t>
            </w:r>
          </w:p>
        </w:tc>
      </w:tr>
    </w:tbl>
    <w:p w14:paraId="18B72B0A" w14:textId="77777777" w:rsid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</w:p>
    <w:p w14:paraId="45FAE417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lastRenderedPageBreak/>
        <w:t>Girl Student</w:t>
      </w:r>
    </w:p>
    <w:p w14:paraId="450D2ECE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All girl students are from Class 1 to Class 12 are exempted from Tuition Fees. However, they have to pay computer fund and VVN (Vidyalaya Vikas Nidhi) contribution.</w:t>
      </w:r>
    </w:p>
    <w:p w14:paraId="25C9769F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SC/ST Students</w:t>
      </w:r>
    </w:p>
    <w:p w14:paraId="3CD866D0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All students (Girls and Boys) belongs to SC/ST are provided exempt from Tuition Fees. However, they will pay the computer fee and VVN Nidhi.</w:t>
      </w:r>
    </w:p>
    <w:p w14:paraId="54ED041D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Children of KVS Employees</w:t>
      </w:r>
    </w:p>
    <w:p w14:paraId="23C3C279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All children from class 1 to class 12 are exempted to pay their tuition fees if their parents are working in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Kendiray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Vidyalaya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Sangathan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. However, they have to pay their computer fees and VVN Nidhi contribution.</w:t>
      </w:r>
    </w:p>
    <w:p w14:paraId="2808720D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Single Girl Child</w:t>
      </w:r>
    </w:p>
    <w:p w14:paraId="670C2B3F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All single girl students from classes 6 to 12 are exempted from all fees, such as tuition fees, computer funds, and VVN contribution.</w:t>
      </w:r>
    </w:p>
    <w:p w14:paraId="58E3F783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Children of Army &amp; Paramilitary Personnel</w:t>
      </w:r>
    </w:p>
    <w:p w14:paraId="3C9B3E72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The children of Armed Forces Personnel are exempted to pay their tuition fee and VVN Nidhi. They have to pay for computer funds only.</w:t>
      </w:r>
    </w:p>
    <w:p w14:paraId="2AB77DCC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Children of officers and men of armed forces and Paramilitary personnel killed or disabled during the hostilities 1962; 1965; 1971 and 1999 and as well as to the children of Defence Personnel of Indian Peace Keeping Force (IPKF) in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Srilanka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and personnel of armed forces killed or disabled in “Operation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Meghdoot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” in Siachen area and “Operation Vijay” in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Kargil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.</w:t>
      </w:r>
    </w:p>
    <w:p w14:paraId="5C61C18A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Children of Diseased Army &amp; Paramilitary Personnel</w:t>
      </w:r>
    </w:p>
    <w:p w14:paraId="2D4AC172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The children of devised Armed Forces Personnel are exempted to pay all types of fees.</w:t>
      </w:r>
    </w:p>
    <w:p w14:paraId="27EC04FD" w14:textId="77777777" w:rsid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Concession of exemption from payment of tuition fee, (VVN and Computer fund) is also extended to the children of Armed Forces and Para Military Forces personnel whose parents were killed/declared missing or permanently disabled during any counter-insurgency operation in India or abroad. Provided the children produce the certificate granted by the concerned Ministry.</w:t>
      </w:r>
    </w:p>
    <w:p w14:paraId="6D04DD33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Poverty Children</w:t>
      </w:r>
    </w:p>
    <w:p w14:paraId="6EA6DBF8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lastRenderedPageBreak/>
        <w:t>Children of parents, who are living below the poverty line, up to two children, and having BPL cards are exempted from tuition fees and VVN Nidhi.</w:t>
      </w:r>
    </w:p>
    <w:p w14:paraId="1251AF69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Disabled Children</w:t>
      </w:r>
    </w:p>
    <w:p w14:paraId="62C2FB6D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All disabled children are exempted from tuition fees and VVN Nidhi as per the instructions issued by KVS on 15.10.2009.</w:t>
      </w:r>
    </w:p>
    <w:p w14:paraId="6D346BD9" w14:textId="77777777" w:rsidR="00745F44" w:rsidRPr="00745F44" w:rsidRDefault="00745F44" w:rsidP="00745F44">
      <w:pPr>
        <w:shd w:val="clear" w:color="auto" w:fill="FFFFFF"/>
        <w:spacing w:after="240" w:line="240" w:lineRule="auto"/>
        <w:outlineLvl w:val="2"/>
        <w:rPr>
          <w:rFonts w:ascii="Arial" w:eastAsia="Times New Roman" w:hAnsi="Arial" w:cs="Arial"/>
          <w:color w:val="222222"/>
          <w:sz w:val="36"/>
          <w:szCs w:val="36"/>
          <w:lang w:eastAsia="en-IN"/>
        </w:rPr>
      </w:pPr>
      <w:r w:rsidRPr="00745F44">
        <w:rPr>
          <w:rFonts w:ascii="Arial" w:eastAsia="Times New Roman" w:hAnsi="Arial" w:cs="Arial"/>
          <w:color w:val="222222"/>
          <w:sz w:val="36"/>
          <w:szCs w:val="36"/>
          <w:lang w:eastAsia="en-IN"/>
        </w:rPr>
        <w:t>Notes from KVS</w:t>
      </w:r>
    </w:p>
    <w:p w14:paraId="0F1A4937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1. Exemption of various types of fees mentioned above will not be allowed henceforth to the children of Govt. employees (including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Kendriya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Vidyalaya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Sangathan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employees) as they are getting reimbursement from their departments.</w:t>
      </w:r>
    </w:p>
    <w:p w14:paraId="7E776D50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2.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Kendriya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Vidyalayas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under the project sector is authorized to implement their own differential fee structure vide KVS Letter No. 6-1/91-KVS (Budget) dt.11.11.1999.</w:t>
      </w:r>
    </w:p>
    <w:p w14:paraId="46A987F4" w14:textId="77777777" w:rsidR="00745F44" w:rsidRPr="00745F44" w:rsidRDefault="00745F44" w:rsidP="00745F44">
      <w:pPr>
        <w:shd w:val="clear" w:color="auto" w:fill="FFFFFF"/>
        <w:spacing w:after="390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</w:pPr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3. In addition, provisions incorporated in Article 123-124 of the Education Code for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Kendriya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</w:t>
      </w:r>
      <w:proofErr w:type="spellStart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>Vidyalayas</w:t>
      </w:r>
      <w:proofErr w:type="spellEnd"/>
      <w:r w:rsidRPr="00745F44">
        <w:rPr>
          <w:rFonts w:ascii="Roboto" w:eastAsia="Times New Roman" w:hAnsi="Roboto" w:cs="Times New Roman"/>
          <w:color w:val="222222"/>
          <w:sz w:val="24"/>
          <w:szCs w:val="24"/>
          <w:lang w:eastAsia="en-IN"/>
        </w:rPr>
        <w:t xml:space="preserve"> regarding fee exemption will be extended hitherto in force.</w:t>
      </w:r>
    </w:p>
    <w:p w14:paraId="70D17913" w14:textId="77777777" w:rsidR="0080001A" w:rsidRDefault="0080001A"/>
    <w:sectPr w:rsidR="0080001A" w:rsidSect="008B7503">
      <w:pgSz w:w="11906" w:h="16838"/>
      <w:pgMar w:top="900" w:right="1440" w:bottom="15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F10"/>
    <w:rsid w:val="00745F44"/>
    <w:rsid w:val="0080001A"/>
    <w:rsid w:val="00890AD6"/>
    <w:rsid w:val="008B7503"/>
    <w:rsid w:val="00D3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46A66"/>
  <w15:chartTrackingRefBased/>
  <w15:docId w15:val="{AC144F0B-B357-45B3-B17E-746F18A5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45F44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74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745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PULKIT GUPTA</cp:lastModifiedBy>
  <cp:revision>4</cp:revision>
  <dcterms:created xsi:type="dcterms:W3CDTF">2021-05-24T07:57:00Z</dcterms:created>
  <dcterms:modified xsi:type="dcterms:W3CDTF">2021-05-24T11:23:00Z</dcterms:modified>
</cp:coreProperties>
</file>